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w:t>
      </w:r>
      <w:proofErr w:type="spellStart"/>
      <w:r w:rsidRPr="00762EEE">
        <w:rPr>
          <w:rFonts w:ascii="Garamond" w:eastAsia="Calibri" w:hAnsi="Garamond" w:cs="Garamond,Bold"/>
          <w:b/>
          <w:bCs/>
          <w:color w:val="000000" w:themeColor="text1"/>
          <w:sz w:val="22"/>
          <w:szCs w:val="22"/>
          <w:lang w:eastAsia="en-US"/>
        </w:rPr>
        <w:t>Apakor</w:t>
      </w:r>
      <w:proofErr w:type="spellEnd"/>
      <w:r w:rsidRPr="00762EEE">
        <w:rPr>
          <w:rFonts w:ascii="Garamond" w:eastAsia="Calibri" w:hAnsi="Garamond" w:cs="Garamond,Bold"/>
          <w:b/>
          <w:bCs/>
          <w:color w:val="000000" w:themeColor="text1"/>
          <w:sz w:val="22"/>
          <w:szCs w:val="22"/>
          <w:lang w:eastAsia="en-US"/>
        </w:rPr>
        <w:t xml:space="preserve">  sp. z </w:t>
      </w:r>
      <w:proofErr w:type="spellStart"/>
      <w:r w:rsidRPr="00762EEE">
        <w:rPr>
          <w:rFonts w:ascii="Garamond" w:eastAsia="Calibri" w:hAnsi="Garamond" w:cs="Garamond,Bold"/>
          <w:b/>
          <w:bCs/>
          <w:color w:val="000000" w:themeColor="text1"/>
          <w:sz w:val="22"/>
          <w:szCs w:val="22"/>
          <w:lang w:eastAsia="en-US"/>
        </w:rPr>
        <w:t>o.o</w:t>
      </w:r>
      <w:proofErr w:type="spellEnd"/>
      <w:r w:rsidRPr="00762EEE">
        <w:rPr>
          <w:rFonts w:ascii="Garamond" w:eastAsia="Calibri" w:hAnsi="Garamond" w:cs="Garamond,Bold"/>
          <w:b/>
          <w:bCs/>
          <w:color w:val="000000" w:themeColor="text1"/>
          <w:sz w:val="22"/>
          <w:szCs w:val="22"/>
          <w:lang w:eastAsia="en-US"/>
        </w:rPr>
        <w:t xml:space="preserve">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05785286" w:rsidR="00CF0E71" w:rsidRPr="001E3E7D" w:rsidRDefault="008B543F" w:rsidP="001E3E7D">
      <w:pPr>
        <w:pStyle w:val="Akapitzlist"/>
        <w:numPr>
          <w:ilvl w:val="0"/>
          <w:numId w:val="1"/>
        </w:numPr>
        <w:autoSpaceDN w:val="0"/>
        <w:adjustRightInd w:val="0"/>
        <w:spacing w:line="276" w:lineRule="auto"/>
        <w:jc w:val="both"/>
        <w:rPr>
          <w:rFonts w:ascii="Garamond" w:hAnsi="Garamond" w:cs="Arial"/>
          <w:b/>
          <w:bCs/>
          <w:color w:val="000000" w:themeColor="text1"/>
          <w:sz w:val="22"/>
          <w:szCs w:val="22"/>
        </w:rPr>
      </w:pPr>
      <w:r w:rsidRPr="001E3E7D">
        <w:rPr>
          <w:rFonts w:ascii="Garamond" w:hAnsi="Garamond"/>
          <w:color w:val="000000" w:themeColor="text1"/>
          <w:sz w:val="22"/>
          <w:szCs w:val="22"/>
        </w:rPr>
        <w:t>Dostaw</w:t>
      </w:r>
      <w:r w:rsidR="00A37EA2" w:rsidRPr="001E3E7D">
        <w:rPr>
          <w:rFonts w:ascii="Garamond" w:hAnsi="Garamond"/>
          <w:color w:val="000000" w:themeColor="text1"/>
          <w:sz w:val="22"/>
          <w:szCs w:val="22"/>
        </w:rPr>
        <w:t>a</w:t>
      </w:r>
      <w:r w:rsidRPr="001E3E7D">
        <w:rPr>
          <w:rFonts w:ascii="Garamond" w:hAnsi="Garamond"/>
          <w:b/>
          <w:color w:val="000000" w:themeColor="text1"/>
          <w:sz w:val="22"/>
          <w:szCs w:val="22"/>
        </w:rPr>
        <w:t xml:space="preserve"> </w:t>
      </w:r>
      <w:r w:rsidR="00A37EA2" w:rsidRPr="001E3E7D">
        <w:rPr>
          <w:rFonts w:ascii="Garamond" w:hAnsi="Garamond"/>
          <w:bCs/>
          <w:iCs/>
          <w:color w:val="000000" w:themeColor="text1"/>
          <w:sz w:val="22"/>
          <w:szCs w:val="22"/>
        </w:rPr>
        <w:t xml:space="preserve">wraz Montażem </w:t>
      </w:r>
      <w:r w:rsidR="00CA49D7" w:rsidRPr="001E3E7D">
        <w:rPr>
          <w:rFonts w:ascii="Garamond" w:hAnsi="Garamond" w:cs="Arial"/>
          <w:color w:val="000000" w:themeColor="text1"/>
          <w:sz w:val="22"/>
          <w:szCs w:val="22"/>
        </w:rPr>
        <w:t>i Nadz</w:t>
      </w:r>
      <w:r w:rsidR="00C7203D" w:rsidRPr="001E3E7D">
        <w:rPr>
          <w:rFonts w:ascii="Garamond" w:hAnsi="Garamond" w:cs="Arial"/>
          <w:color w:val="000000" w:themeColor="text1"/>
          <w:sz w:val="22"/>
          <w:szCs w:val="22"/>
        </w:rPr>
        <w:t>orem</w:t>
      </w:r>
      <w:r w:rsidR="00CA49D7" w:rsidRPr="001E3E7D">
        <w:rPr>
          <w:rFonts w:ascii="Garamond" w:hAnsi="Garamond" w:cs="Arial"/>
          <w:color w:val="000000" w:themeColor="text1"/>
          <w:sz w:val="22"/>
          <w:szCs w:val="22"/>
        </w:rPr>
        <w:t xml:space="preserve"> nad Rozruchem</w:t>
      </w:r>
      <w:r w:rsidR="009214F4" w:rsidRPr="001E3E7D">
        <w:rPr>
          <w:rFonts w:ascii="Garamond" w:hAnsi="Garamond" w:cs="Arial"/>
          <w:color w:val="000000" w:themeColor="text1"/>
          <w:sz w:val="22"/>
          <w:szCs w:val="22"/>
        </w:rPr>
        <w:t>,</w:t>
      </w:r>
      <w:r w:rsidR="00CA49D7" w:rsidRPr="001E3E7D">
        <w:rPr>
          <w:rFonts w:ascii="Garamond" w:hAnsi="Garamond" w:cs="Arial"/>
          <w:color w:val="000000" w:themeColor="text1"/>
          <w:sz w:val="22"/>
          <w:szCs w:val="22"/>
        </w:rPr>
        <w:t xml:space="preserve"> </w:t>
      </w:r>
      <w:bookmarkStart w:id="0" w:name="_Hlk128990557"/>
      <w:r w:rsidR="009214F4" w:rsidRPr="001E3E7D">
        <w:rPr>
          <w:rFonts w:ascii="Garamond" w:hAnsi="Garamond" w:cs="Arial"/>
          <w:color w:val="000000" w:themeColor="text1"/>
          <w:sz w:val="22"/>
          <w:szCs w:val="22"/>
        </w:rPr>
        <w:t xml:space="preserve">a także przygotowanie Dokumentacji </w:t>
      </w:r>
      <w:r w:rsidR="0040287A" w:rsidRPr="001E3E7D">
        <w:rPr>
          <w:rFonts w:ascii="Garamond" w:hAnsi="Garamond" w:cs="Arial"/>
          <w:color w:val="000000" w:themeColor="text1"/>
          <w:sz w:val="22"/>
          <w:szCs w:val="22"/>
        </w:rPr>
        <w:t>Powykonawczej</w:t>
      </w:r>
      <w:r w:rsidR="00D644A4" w:rsidRPr="001E3E7D">
        <w:rPr>
          <w:rFonts w:ascii="Garamond" w:hAnsi="Garamond" w:cs="Arial"/>
          <w:color w:val="000000" w:themeColor="text1"/>
          <w:sz w:val="22"/>
          <w:szCs w:val="22"/>
        </w:rPr>
        <w:t xml:space="preserve"> </w:t>
      </w:r>
      <w:r w:rsidR="00950EB2" w:rsidRPr="001E3E7D">
        <w:rPr>
          <w:rFonts w:ascii="Garamond" w:hAnsi="Garamond" w:cs="Arial"/>
          <w:color w:val="000000" w:themeColor="text1"/>
          <w:sz w:val="22"/>
          <w:szCs w:val="22"/>
        </w:rPr>
        <w:t xml:space="preserve">dla </w:t>
      </w:r>
      <w:r w:rsidR="00121C14" w:rsidRPr="001E3E7D">
        <w:rPr>
          <w:rFonts w:ascii="Garamond" w:hAnsi="Garamond" w:cs="Arial"/>
          <w:color w:val="000000" w:themeColor="text1"/>
          <w:sz w:val="22"/>
          <w:szCs w:val="22"/>
        </w:rPr>
        <w:t xml:space="preserve">zadania </w:t>
      </w:r>
      <w:bookmarkEnd w:id="0"/>
      <w:r w:rsidR="00483386" w:rsidRPr="00483386">
        <w:rPr>
          <w:rFonts w:ascii="Garamond" w:hAnsi="Garamond" w:cs="Arial"/>
          <w:b/>
          <w:bCs/>
          <w:color w:val="000000" w:themeColor="text1"/>
          <w:sz w:val="22"/>
          <w:szCs w:val="22"/>
        </w:rPr>
        <w:t xml:space="preserve">Wykonanie rurociągów instalacji EOS w zakresie: </w:t>
      </w:r>
      <w:r w:rsidR="009005FB" w:rsidRPr="009005FB">
        <w:rPr>
          <w:rFonts w:ascii="Garamond" w:hAnsi="Garamond" w:cs="Arial"/>
          <w:b/>
          <w:bCs/>
          <w:color w:val="000000" w:themeColor="text1"/>
          <w:sz w:val="22"/>
          <w:szCs w:val="22"/>
        </w:rPr>
        <w:t>orurowanie etażerki H-57, pakiet 6.5</w:t>
      </w:r>
      <w:r w:rsidR="009005FB">
        <w:rPr>
          <w:rFonts w:ascii="Garamond" w:hAnsi="Garamond" w:cs="Arial"/>
          <w:b/>
          <w:bCs/>
          <w:color w:val="000000" w:themeColor="text1"/>
          <w:sz w:val="22"/>
          <w:szCs w:val="22"/>
        </w:rPr>
        <w:t xml:space="preserve"> </w:t>
      </w:r>
      <w:r w:rsidR="00B20E88" w:rsidRPr="001E3E7D">
        <w:rPr>
          <w:rFonts w:ascii="Garamond" w:hAnsi="Garamond" w:cs="Arial"/>
          <w:b/>
          <w:bCs/>
          <w:color w:val="000000" w:themeColor="text1"/>
          <w:sz w:val="22"/>
          <w:szCs w:val="22"/>
        </w:rPr>
        <w:t xml:space="preserve">dla PCC BD sp. z o.o. </w:t>
      </w:r>
      <w:r w:rsidR="00EF6D79" w:rsidRPr="001E3E7D">
        <w:rPr>
          <w:rFonts w:ascii="Garamond" w:hAnsi="Garamond"/>
          <w:color w:val="000000" w:themeColor="text1"/>
          <w:sz w:val="22"/>
          <w:szCs w:val="22"/>
        </w:rPr>
        <w:t xml:space="preserve">w wyniku przeprowadzonego przez </w:t>
      </w:r>
      <w:r w:rsidRPr="001E3E7D">
        <w:rPr>
          <w:rFonts w:ascii="Garamond" w:hAnsi="Garamond"/>
          <w:color w:val="000000" w:themeColor="text1"/>
          <w:sz w:val="22"/>
          <w:szCs w:val="22"/>
        </w:rPr>
        <w:t xml:space="preserve">Zamawiającego </w:t>
      </w:r>
      <w:r w:rsidR="00EF6D79" w:rsidRPr="001E3E7D">
        <w:rPr>
          <w:rFonts w:ascii="Garamond" w:hAnsi="Garamond"/>
          <w:color w:val="000000" w:themeColor="text1"/>
          <w:sz w:val="22"/>
          <w:szCs w:val="22"/>
        </w:rPr>
        <w:t xml:space="preserve">postępowania </w:t>
      </w:r>
      <w:r w:rsidR="008973D5" w:rsidRPr="001E3E7D">
        <w:rPr>
          <w:rFonts w:ascii="Garamond" w:hAnsi="Garamond"/>
          <w:b/>
          <w:color w:val="000000" w:themeColor="text1"/>
          <w:sz w:val="22"/>
          <w:szCs w:val="22"/>
        </w:rPr>
        <w:t>n</w:t>
      </w:r>
      <w:r w:rsidR="00EF6D79" w:rsidRPr="001E3E7D">
        <w:rPr>
          <w:rFonts w:ascii="Garamond" w:hAnsi="Garamond"/>
          <w:b/>
          <w:color w:val="000000" w:themeColor="text1"/>
          <w:sz w:val="22"/>
          <w:szCs w:val="22"/>
        </w:rPr>
        <w:t>r</w:t>
      </w:r>
      <w:r w:rsidR="008973D5" w:rsidRPr="001E3E7D">
        <w:rPr>
          <w:rFonts w:ascii="Garamond" w:hAnsi="Garamond"/>
          <w:b/>
          <w:color w:val="000000" w:themeColor="text1"/>
          <w:sz w:val="22"/>
          <w:szCs w:val="22"/>
        </w:rPr>
        <w:t xml:space="preserve"> </w:t>
      </w:r>
      <w:r w:rsidR="00B80B30" w:rsidRPr="001E3E7D">
        <w:rPr>
          <w:rFonts w:ascii="Garamond" w:hAnsi="Garamond"/>
          <w:b/>
          <w:color w:val="000000" w:themeColor="text1"/>
          <w:sz w:val="22"/>
          <w:szCs w:val="22"/>
        </w:rPr>
        <w:t>……………….</w:t>
      </w:r>
      <w:r w:rsidR="00DF74CF" w:rsidRPr="001E3E7D">
        <w:rPr>
          <w:rFonts w:ascii="Garamond" w:hAnsi="Garamond"/>
          <w:bCs/>
          <w:color w:val="000000" w:themeColor="text1"/>
          <w:sz w:val="22"/>
          <w:szCs w:val="22"/>
        </w:rPr>
        <w:t>.</w:t>
      </w:r>
    </w:p>
    <w:p w14:paraId="3A1D385A" w14:textId="7E786060"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rurociągów instalacji EOS w zakresie:</w:t>
      </w:r>
      <w:r w:rsidR="00A36DAF">
        <w:rPr>
          <w:rFonts w:ascii="Garamond" w:hAnsi="Garamond"/>
          <w:bCs/>
          <w:iCs/>
          <w:color w:val="000000" w:themeColor="text1"/>
          <w:sz w:val="22"/>
          <w:szCs w:val="22"/>
        </w:rPr>
        <w:t xml:space="preserve"> </w:t>
      </w:r>
      <w:r w:rsidR="00501DC6" w:rsidRPr="00501DC6">
        <w:rPr>
          <w:rFonts w:ascii="Garamond" w:hAnsi="Garamond" w:cs="Arial"/>
          <w:b/>
          <w:bCs/>
          <w:color w:val="000000" w:themeColor="text1"/>
          <w:sz w:val="22"/>
          <w:szCs w:val="22"/>
        </w:rPr>
        <w:t>orurowanie etażerki H-57, pakiet 6.5</w:t>
      </w:r>
      <w:r w:rsidR="00501DC6">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dla PCC BD sp. z o.o.</w:t>
      </w:r>
      <w:r w:rsidR="001E3E7D">
        <w:rPr>
          <w:rFonts w:ascii="Garamond" w:hAnsi="Garamond" w:cs="Arial"/>
          <w:b/>
          <w:bCs/>
          <w:color w:val="000000" w:themeColor="text1"/>
          <w:sz w:val="22"/>
          <w:szCs w:val="22"/>
        </w:rPr>
        <w:t xml:space="preserve">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w:t>
      </w:r>
      <w:r w:rsidR="00132200" w:rsidRPr="008973D5">
        <w:rPr>
          <w:rFonts w:ascii="Garamond" w:hAnsi="Garamond" w:cs="Arial"/>
          <w:color w:val="000000" w:themeColor="text1"/>
          <w:sz w:val="22"/>
          <w:szCs w:val="22"/>
        </w:rPr>
        <w:lastRenderedPageBreak/>
        <w:t xml:space="preserve">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proofErr w:type="spellStart"/>
      <w:r w:rsidRPr="008973D5">
        <w:rPr>
          <w:rFonts w:ascii="Garamond" w:hAnsi="Garamond" w:cs="Courier New"/>
          <w:color w:val="000000" w:themeColor="text1"/>
          <w:sz w:val="22"/>
          <w:szCs w:val="22"/>
        </w:rPr>
        <w:t>dostępniania</w:t>
      </w:r>
      <w:proofErr w:type="spellEnd"/>
      <w:r w:rsidRPr="008973D5">
        <w:rPr>
          <w:rFonts w:ascii="Garamond" w:hAnsi="Garamond" w:cs="Courier New"/>
          <w:color w:val="000000" w:themeColor="text1"/>
          <w:sz w:val="22"/>
          <w:szCs w:val="22"/>
        </w:rPr>
        <w:t xml:space="preserve">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działalności, z najwyższą starannością, aktualnym poziomem wiedzy i techniki oraz z zachowaniem </w:t>
      </w:r>
      <w:r w:rsidR="00B82FA7" w:rsidRPr="008973D5">
        <w:rPr>
          <w:rFonts w:ascii="Garamond" w:hAnsi="Garamond" w:cs="Arial"/>
          <w:color w:val="000000" w:themeColor="text1"/>
          <w:sz w:val="22"/>
          <w:szCs w:val="22"/>
        </w:rPr>
        <w:lastRenderedPageBreak/>
        <w:t>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3A00636A"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105B82" w:rsidRPr="00105B82">
        <w:rPr>
          <w:rFonts w:ascii="Garamond" w:hAnsi="Garamond" w:cs="Arial"/>
          <w:b/>
          <w:bCs/>
          <w:color w:val="000000" w:themeColor="text1"/>
          <w:sz w:val="22"/>
          <w:szCs w:val="22"/>
        </w:rPr>
        <w:t>orurowanie etażerki H-57, pakiet 6.5</w:t>
      </w:r>
      <w:r w:rsidR="00105B82">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dla PCC BD sp. z o.o.</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Wykaz wpięć w istniejącą instalację – </w:t>
      </w:r>
      <w:proofErr w:type="spellStart"/>
      <w:r w:rsidRPr="008973D5">
        <w:rPr>
          <w:rFonts w:ascii="Garamond" w:hAnsi="Garamond" w:cs="Arial"/>
          <w:color w:val="000000" w:themeColor="text1"/>
          <w:sz w:val="22"/>
          <w:szCs w:val="22"/>
          <w:lang w:eastAsia="en-US"/>
        </w:rPr>
        <w:t>wpałki</w:t>
      </w:r>
      <w:proofErr w:type="spellEnd"/>
      <w:r w:rsidRPr="008973D5">
        <w:rPr>
          <w:rFonts w:ascii="Garamond" w:hAnsi="Garamond" w:cs="Arial"/>
          <w:color w:val="000000" w:themeColor="text1"/>
          <w:sz w:val="22"/>
          <w:szCs w:val="22"/>
          <w:lang w:eastAsia="en-US"/>
        </w:rPr>
        <w:t>,</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Warunki Techniczne Wykonania i Odbioru - </w:t>
      </w:r>
      <w:proofErr w:type="spellStart"/>
      <w:r w:rsidRPr="008973D5">
        <w:rPr>
          <w:rFonts w:ascii="Garamond" w:hAnsi="Garamond" w:cs="Arial"/>
          <w:color w:val="000000" w:themeColor="text1"/>
          <w:sz w:val="22"/>
          <w:szCs w:val="22"/>
          <w:lang w:eastAsia="en-US"/>
        </w:rPr>
        <w:t>WTWiO</w:t>
      </w:r>
      <w:proofErr w:type="spellEnd"/>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 xml:space="preserve">wszystkie obowiązki związane z rozładunkiem w miejscu wskazanym przez Zamawiającego (pole </w:t>
      </w:r>
      <w:proofErr w:type="spellStart"/>
      <w:r w:rsidR="001F4909" w:rsidRPr="008973D5">
        <w:rPr>
          <w:rFonts w:ascii="Garamond" w:hAnsi="Garamond" w:cs="Arial"/>
          <w:color w:val="000000" w:themeColor="text1"/>
          <w:sz w:val="22"/>
          <w:szCs w:val="22"/>
        </w:rPr>
        <w:t>odkładcze</w:t>
      </w:r>
      <w:proofErr w:type="spellEnd"/>
      <w:r w:rsidR="001F4909" w:rsidRPr="008973D5">
        <w:rPr>
          <w:rFonts w:ascii="Garamond" w:hAnsi="Garamond" w:cs="Arial"/>
          <w:color w:val="000000" w:themeColor="text1"/>
          <w:sz w:val="22"/>
          <w:szCs w:val="22"/>
        </w:rPr>
        <w:t>),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w:t>
      </w:r>
      <w:proofErr w:type="spellStart"/>
      <w:r w:rsidR="001F4909" w:rsidRPr="001E6AA8">
        <w:rPr>
          <w:rFonts w:ascii="Garamond" w:hAnsi="Garamond" w:cs="Arial"/>
          <w:color w:val="000000" w:themeColor="text1"/>
          <w:sz w:val="22"/>
          <w:szCs w:val="22"/>
        </w:rPr>
        <w:t>odkładcze</w:t>
      </w:r>
      <w:proofErr w:type="spellEnd"/>
      <w:r w:rsidR="001F4909" w:rsidRPr="001E6AA8">
        <w:rPr>
          <w:rFonts w:ascii="Garamond" w:hAnsi="Garamond" w:cs="Arial"/>
          <w:color w:val="000000" w:themeColor="text1"/>
          <w:sz w:val="22"/>
          <w:szCs w:val="22"/>
        </w:rPr>
        <w:t xml:space="preserve"> Zamawiającego oraz następnie transport Urządzenia z pola </w:t>
      </w:r>
      <w:proofErr w:type="spellStart"/>
      <w:r w:rsidR="001F4909" w:rsidRPr="001E6AA8">
        <w:rPr>
          <w:rFonts w:ascii="Garamond" w:hAnsi="Garamond" w:cs="Arial"/>
          <w:color w:val="000000" w:themeColor="text1"/>
          <w:sz w:val="22"/>
          <w:szCs w:val="22"/>
        </w:rPr>
        <w:t>odkładczego</w:t>
      </w:r>
      <w:proofErr w:type="spellEnd"/>
      <w:r w:rsidR="001F4909" w:rsidRPr="001E6AA8">
        <w:rPr>
          <w:rFonts w:ascii="Garamond" w:hAnsi="Garamond" w:cs="Arial"/>
          <w:color w:val="000000" w:themeColor="text1"/>
          <w:sz w:val="22"/>
          <w:szCs w:val="22"/>
        </w:rPr>
        <w:t xml:space="preserve">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4070C535" w14:textId="0C5E4B09" w:rsidR="00B8318F" w:rsidRPr="008973D5" w:rsidRDefault="000760A3"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5B6F87" w:rsidRPr="00483386">
        <w:rPr>
          <w:rFonts w:ascii="Garamond" w:hAnsi="Garamond" w:cs="Arial"/>
          <w:b/>
          <w:bCs/>
          <w:color w:val="000000" w:themeColor="text1"/>
          <w:sz w:val="22"/>
          <w:szCs w:val="22"/>
        </w:rPr>
        <w:t xml:space="preserve">Wykonanie rurociągów instalacji EOS w zakresie: orurowanie etażerki H-57, pakiet 6.4 rurociągi SS </w:t>
      </w:r>
      <w:r w:rsidR="005B6F87" w:rsidRPr="001E3E7D">
        <w:rPr>
          <w:rFonts w:ascii="Garamond" w:hAnsi="Garamond" w:cs="Arial"/>
          <w:b/>
          <w:bCs/>
          <w:color w:val="000000" w:themeColor="text1"/>
          <w:sz w:val="22"/>
          <w:szCs w:val="22"/>
        </w:rPr>
        <w:t xml:space="preserve">dla PCC BD sp. z o.o. </w:t>
      </w:r>
      <w:r w:rsidR="00B8318F" w:rsidRPr="008973D5">
        <w:rPr>
          <w:rFonts w:ascii="Garamond" w:hAnsi="Garamond" w:cs="Arial"/>
          <w:color w:val="000000" w:themeColor="text1"/>
          <w:sz w:val="22"/>
          <w:szCs w:val="22"/>
          <w:u w:val="single"/>
        </w:rPr>
        <w:t>Montaż</w:t>
      </w:r>
      <w:r w:rsidR="00B8318F"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proofErr w:type="spellStart"/>
      <w:r w:rsidRPr="008973D5">
        <w:rPr>
          <w:rFonts w:ascii="Garamond" w:hAnsi="Garamond" w:cs="Arial"/>
          <w:color w:val="000000" w:themeColor="text1"/>
          <w:sz w:val="22"/>
          <w:szCs w:val="22"/>
          <w:u w:val="single"/>
        </w:rPr>
        <w:t>Pomontażowe</w:t>
      </w:r>
      <w:proofErr w:type="spellEnd"/>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5128FC96"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5E0B54" w:rsidRPr="00483386">
        <w:rPr>
          <w:rFonts w:ascii="Garamond" w:hAnsi="Garamond" w:cs="Arial"/>
          <w:b/>
          <w:bCs/>
          <w:color w:val="000000" w:themeColor="text1"/>
          <w:sz w:val="22"/>
          <w:szCs w:val="22"/>
        </w:rPr>
        <w:t xml:space="preserve">Wykonanie rurociągów instalacji EOS w zakresie: </w:t>
      </w:r>
      <w:r w:rsidR="00C51F27" w:rsidRPr="00C51F27">
        <w:rPr>
          <w:rFonts w:ascii="Garamond" w:hAnsi="Garamond" w:cs="Arial"/>
          <w:b/>
          <w:bCs/>
          <w:color w:val="000000" w:themeColor="text1"/>
          <w:sz w:val="22"/>
          <w:szCs w:val="22"/>
        </w:rPr>
        <w:t>orurowanie etażerki H-57, pakiet 6.5</w:t>
      </w:r>
      <w:r w:rsidR="00C51F27">
        <w:rPr>
          <w:rFonts w:ascii="Garamond" w:hAnsi="Garamond" w:cs="Arial"/>
          <w:b/>
          <w:bCs/>
          <w:color w:val="000000" w:themeColor="text1"/>
          <w:sz w:val="22"/>
          <w:szCs w:val="22"/>
        </w:rPr>
        <w:t xml:space="preserve"> </w:t>
      </w:r>
      <w:r w:rsidR="005E0B54" w:rsidRPr="00483386">
        <w:rPr>
          <w:rFonts w:ascii="Garamond" w:hAnsi="Garamond" w:cs="Arial"/>
          <w:b/>
          <w:bCs/>
          <w:color w:val="000000" w:themeColor="text1"/>
          <w:sz w:val="22"/>
          <w:szCs w:val="22"/>
        </w:rPr>
        <w:t xml:space="preserve">SS </w:t>
      </w:r>
      <w:r w:rsidR="005E0B54" w:rsidRPr="001E3E7D">
        <w:rPr>
          <w:rFonts w:ascii="Garamond" w:hAnsi="Garamond" w:cs="Arial"/>
          <w:b/>
          <w:bCs/>
          <w:color w:val="000000" w:themeColor="text1"/>
          <w:sz w:val="22"/>
          <w:szCs w:val="22"/>
        </w:rPr>
        <w:t>dla PCC BD sp. z o.o.</w:t>
      </w:r>
      <w:r w:rsidR="005E0B54">
        <w:rPr>
          <w:rFonts w:ascii="Garamond" w:hAnsi="Garamond" w:cs="Arial"/>
          <w:b/>
          <w:bCs/>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 xml:space="preserve">z pola </w:t>
      </w:r>
      <w:proofErr w:type="spellStart"/>
      <w:r w:rsidRPr="008973D5">
        <w:rPr>
          <w:rFonts w:ascii="Garamond" w:hAnsi="Garamond" w:cs="Arial"/>
          <w:color w:val="000000" w:themeColor="text1"/>
          <w:sz w:val="22"/>
          <w:szCs w:val="22"/>
        </w:rPr>
        <w:t>odkładczego</w:t>
      </w:r>
      <w:proofErr w:type="spellEnd"/>
      <w:r w:rsidRPr="008973D5">
        <w:rPr>
          <w:rFonts w:ascii="Garamond" w:hAnsi="Garamond" w:cs="Arial"/>
          <w:color w:val="000000" w:themeColor="text1"/>
          <w:sz w:val="22"/>
          <w:szCs w:val="22"/>
        </w:rPr>
        <w:t xml:space="preserve">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w:t>
      </w:r>
      <w:proofErr w:type="spellStart"/>
      <w:r w:rsidRPr="008973D5">
        <w:rPr>
          <w:rFonts w:ascii="Garamond" w:hAnsi="Garamond" w:cs="Arial"/>
          <w:color w:val="000000" w:themeColor="text1"/>
          <w:sz w:val="22"/>
          <w:szCs w:val="22"/>
        </w:rPr>
        <w:t>dwg</w:t>
      </w:r>
      <w:proofErr w:type="spellEnd"/>
      <w:r w:rsidRPr="008973D5">
        <w:rPr>
          <w:rFonts w:ascii="Garamond" w:hAnsi="Garamond" w:cs="Arial"/>
          <w:color w:val="000000" w:themeColor="text1"/>
          <w:sz w:val="22"/>
          <w:szCs w:val="22"/>
        </w:rPr>
        <w:t xml:space="preserve">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5DF9D528"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20E88" w:rsidRPr="00B20E88">
        <w:rPr>
          <w:rFonts w:ascii="Garamond" w:hAnsi="Garamond" w:cs="Arial"/>
          <w:b/>
          <w:bCs/>
          <w:color w:val="000000" w:themeColor="text1"/>
          <w:sz w:val="22"/>
          <w:szCs w:val="22"/>
        </w:rPr>
        <w:t xml:space="preserve"> </w:t>
      </w:r>
      <w:r w:rsidR="00CD2755" w:rsidRPr="00CD2755">
        <w:rPr>
          <w:rFonts w:ascii="Garamond" w:hAnsi="Garamond" w:cs="Arial"/>
          <w:b/>
          <w:bCs/>
          <w:color w:val="000000" w:themeColor="text1"/>
          <w:sz w:val="22"/>
          <w:szCs w:val="22"/>
        </w:rPr>
        <w:t>orurowanie etażerki H-57, pakiet 6.5</w:t>
      </w:r>
      <w:r w:rsidR="00CD2755">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w:t>
      </w:r>
      <w:proofErr w:type="spellStart"/>
      <w:r w:rsidRPr="008973D5">
        <w:rPr>
          <w:rFonts w:ascii="Garamond" w:hAnsi="Garamond"/>
          <w:bCs/>
          <w:i/>
          <w:iCs/>
          <w:color w:val="000000" w:themeColor="text1"/>
          <w:sz w:val="22"/>
          <w:szCs w:val="22"/>
          <w:lang w:eastAsia="pl-PL"/>
        </w:rPr>
        <w:t>R+Kp</w:t>
      </w:r>
      <w:proofErr w:type="spellEnd"/>
      <w:r w:rsidRPr="008973D5">
        <w:rPr>
          <w:rFonts w:ascii="Garamond" w:hAnsi="Garamond"/>
          <w:bCs/>
          <w:i/>
          <w:iCs/>
          <w:color w:val="000000" w:themeColor="text1"/>
          <w:sz w:val="22"/>
          <w:szCs w:val="22"/>
          <w:lang w:eastAsia="pl-PL"/>
        </w:rPr>
        <w:t xml:space="preserve">(R)+Z(R) + </w:t>
      </w:r>
      <w:proofErr w:type="spellStart"/>
      <w:r w:rsidRPr="008973D5">
        <w:rPr>
          <w:rFonts w:ascii="Garamond" w:hAnsi="Garamond"/>
          <w:bCs/>
          <w:i/>
          <w:iCs/>
          <w:color w:val="000000" w:themeColor="text1"/>
          <w:sz w:val="22"/>
          <w:szCs w:val="22"/>
          <w:lang w:eastAsia="pl-PL"/>
        </w:rPr>
        <w:t>M+Kz</w:t>
      </w:r>
      <w:proofErr w:type="spellEnd"/>
      <w:r w:rsidRPr="008973D5">
        <w:rPr>
          <w:rFonts w:ascii="Garamond" w:hAnsi="Garamond"/>
          <w:bCs/>
          <w:i/>
          <w:iCs/>
          <w:color w:val="000000" w:themeColor="text1"/>
          <w:sz w:val="22"/>
          <w:szCs w:val="22"/>
          <w:lang w:eastAsia="pl-PL"/>
        </w:rPr>
        <w:t xml:space="preserve">(M) + </w:t>
      </w:r>
      <w:proofErr w:type="spellStart"/>
      <w:r w:rsidRPr="008973D5">
        <w:rPr>
          <w:rFonts w:ascii="Garamond" w:hAnsi="Garamond"/>
          <w:bCs/>
          <w:i/>
          <w:iCs/>
          <w:color w:val="000000" w:themeColor="text1"/>
          <w:sz w:val="22"/>
          <w:szCs w:val="22"/>
          <w:lang w:eastAsia="pl-PL"/>
        </w:rPr>
        <w:t>S+Kp</w:t>
      </w:r>
      <w:proofErr w:type="spellEnd"/>
      <w:r w:rsidRPr="008973D5">
        <w:rPr>
          <w:rFonts w:ascii="Garamond" w:hAnsi="Garamond"/>
          <w:bCs/>
          <w:i/>
          <w:iCs/>
          <w:color w:val="000000" w:themeColor="text1"/>
          <w:sz w:val="22"/>
          <w:szCs w:val="22"/>
          <w:lang w:eastAsia="pl-PL"/>
        </w:rPr>
        <w:t>(S)+Z(S)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t>Kp</w:t>
      </w:r>
      <w:proofErr w:type="spellEnd"/>
      <w:r w:rsidRPr="008973D5">
        <w:rPr>
          <w:rFonts w:ascii="Garamond" w:hAnsi="Garamond"/>
          <w:bCs/>
          <w:color w:val="000000" w:themeColor="text1"/>
          <w:sz w:val="22"/>
          <w:szCs w:val="22"/>
          <w:lang w:eastAsia="pl-PL"/>
        </w:rPr>
        <w:t xml:space="preserve">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lastRenderedPageBreak/>
        <w:t>Kz</w:t>
      </w:r>
      <w:proofErr w:type="spellEnd"/>
      <w:r w:rsidRPr="008973D5">
        <w:rPr>
          <w:rFonts w:ascii="Garamond" w:hAnsi="Garamond"/>
          <w:bCs/>
          <w:color w:val="000000" w:themeColor="text1"/>
          <w:sz w:val="22"/>
          <w:szCs w:val="22"/>
          <w:lang w:eastAsia="pl-PL"/>
        </w:rPr>
        <w:t xml:space="preserve">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M – (Materiał bezpośredni) - zgodnie z niższą z kwot ustaloną na podstawie: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w:t>
      </w:r>
      <w:proofErr w:type="spellStart"/>
      <w:r w:rsidRPr="008973D5">
        <w:rPr>
          <w:rFonts w:ascii="Garamond" w:hAnsi="Garamond" w:cs="Arial"/>
          <w:bCs/>
          <w:color w:val="000000" w:themeColor="text1"/>
          <w:sz w:val="22"/>
          <w:szCs w:val="22"/>
        </w:rPr>
        <w:t>redcorrect</w:t>
      </w:r>
      <w:proofErr w:type="spellEnd"/>
      <w:r w:rsidRPr="008973D5">
        <w:rPr>
          <w:rFonts w:ascii="Garamond" w:hAnsi="Garamond" w:cs="Arial"/>
          <w:bCs/>
          <w:color w:val="000000" w:themeColor="text1"/>
          <w:sz w:val="22"/>
          <w:szCs w:val="22"/>
        </w:rPr>
        <w: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proofErr w:type="spellStart"/>
      <w:r w:rsidR="00D5566A" w:rsidRPr="008973D5">
        <w:rPr>
          <w:rFonts w:ascii="Garamond" w:hAnsi="Garamond"/>
          <w:bCs/>
          <w:color w:val="000000" w:themeColor="text1"/>
          <w:sz w:val="22"/>
          <w:szCs w:val="22"/>
          <w:lang w:val="x-none"/>
        </w:rPr>
        <w:t>Pomontażowych</w:t>
      </w:r>
      <w:proofErr w:type="spellEnd"/>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2D737E62" w:rsidR="005B610D" w:rsidRPr="00B56A57" w:rsidRDefault="005B610D" w:rsidP="00445355">
      <w:pPr>
        <w:pStyle w:val="Nagwek2"/>
      </w:pPr>
      <w:r w:rsidRPr="00B56A57">
        <w:t xml:space="preserve">Suma gwarancyjna wynosić będzie nie mniej niż </w:t>
      </w:r>
      <w:r w:rsidR="00062EBA">
        <w:rPr>
          <w:lang w:val="pl-PL"/>
        </w:rPr>
        <w:t>5</w:t>
      </w:r>
      <w:r w:rsidR="00583C4F">
        <w:rPr>
          <w:lang w:val="pl-PL"/>
        </w:rPr>
        <w:t>.</w:t>
      </w:r>
      <w:r w:rsidR="00CE0AF0">
        <w:rPr>
          <w:lang w:val="pl-PL"/>
        </w:rPr>
        <w:t>0</w:t>
      </w:r>
      <w:r w:rsidR="00583C4F">
        <w:rPr>
          <w:lang w:val="pl-PL"/>
        </w:rPr>
        <w:t>00.000,00</w:t>
      </w:r>
      <w:r w:rsidR="00583C4F" w:rsidRPr="007A2766">
        <w:t xml:space="preserve"> </w:t>
      </w:r>
      <w:r w:rsidRPr="007A2766">
        <w:t>PLN</w:t>
      </w:r>
      <w:r w:rsidR="00AE5B76" w:rsidRPr="007A2766">
        <w:rPr>
          <w:lang w:val="pl-PL"/>
        </w:rPr>
        <w:t xml:space="preserve"> (słownie: </w:t>
      </w:r>
      <w:r w:rsidR="00062EBA">
        <w:rPr>
          <w:lang w:val="pl-PL"/>
        </w:rPr>
        <w:t>pięć</w:t>
      </w:r>
      <w:r w:rsidR="00583C4F">
        <w:rPr>
          <w:lang w:val="pl-PL"/>
        </w:rPr>
        <w:t xml:space="preserve"> milion</w:t>
      </w:r>
      <w:r w:rsidR="00062EBA">
        <w:rPr>
          <w:lang w:val="pl-PL"/>
        </w:rPr>
        <w:t>ów</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 xml:space="preserve">odpowiedzialność cywilną za szkody powstałe po przekazaniu Przedmiotu Umowy (tzw. </w:t>
      </w:r>
      <w:proofErr w:type="spellStart"/>
      <w:r w:rsidRPr="008973D5">
        <w:rPr>
          <w:rFonts w:ascii="Garamond" w:hAnsi="Garamond"/>
          <w:color w:val="000000" w:themeColor="text1"/>
          <w:sz w:val="22"/>
          <w:szCs w:val="22"/>
        </w:rPr>
        <w:t>completed</w:t>
      </w:r>
      <w:proofErr w:type="spellEnd"/>
      <w:r w:rsidRPr="008973D5">
        <w:rPr>
          <w:rFonts w:ascii="Garamond" w:hAnsi="Garamond"/>
          <w:color w:val="000000" w:themeColor="text1"/>
          <w:sz w:val="22"/>
          <w:szCs w:val="22"/>
        </w:rPr>
        <w:t xml:space="preserve"> </w:t>
      </w:r>
      <w:proofErr w:type="spellStart"/>
      <w:r w:rsidRPr="008973D5">
        <w:rPr>
          <w:rFonts w:ascii="Garamond" w:hAnsi="Garamond"/>
          <w:color w:val="000000" w:themeColor="text1"/>
          <w:sz w:val="22"/>
          <w:szCs w:val="22"/>
        </w:rPr>
        <w:t>operations</w:t>
      </w:r>
      <w:proofErr w:type="spellEnd"/>
      <w:r w:rsidRPr="008973D5">
        <w:rPr>
          <w:rFonts w:ascii="Garamond" w:hAnsi="Garamond"/>
          <w:color w:val="000000" w:themeColor="text1"/>
          <w:sz w:val="22"/>
          <w:szCs w:val="22"/>
        </w:rPr>
        <w:t>),</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w:t>
      </w:r>
      <w:proofErr w:type="spellStart"/>
      <w:r w:rsidRPr="008973D5">
        <w:t>dowanej</w:t>
      </w:r>
      <w:proofErr w:type="spellEnd"/>
      <w:r w:rsidRPr="008973D5">
        <w:t xml:space="preserve">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4C31F37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342988">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naruszenia obowiązku zachowania trzeźwości przez personel Wykonawcy w odniesieniu do kwestii dotyczących alkoholu, określonych w ust. 1 i 2 powyżej, z zastrzeżeniem ust. 5 poniżej. </w:t>
      </w:r>
    </w:p>
    <w:p w14:paraId="0078764F" w14:textId="6146CFE3"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342988">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dziesięć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1E56F" w14:textId="77777777" w:rsidR="00CB49D7" w:rsidRDefault="00CB49D7">
      <w:r>
        <w:separator/>
      </w:r>
    </w:p>
  </w:endnote>
  <w:endnote w:type="continuationSeparator" w:id="0">
    <w:p w14:paraId="2C397241" w14:textId="77777777" w:rsidR="00CB49D7" w:rsidRDefault="00CB49D7">
      <w:r>
        <w:continuationSeparator/>
      </w:r>
    </w:p>
  </w:endnote>
  <w:endnote w:type="continuationNotice" w:id="1">
    <w:p w14:paraId="7A35D103" w14:textId="77777777" w:rsidR="00CB49D7" w:rsidRDefault="00CB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5A66" w14:textId="77777777" w:rsidR="00CB49D7" w:rsidRDefault="00CB49D7">
      <w:r>
        <w:separator/>
      </w:r>
    </w:p>
  </w:footnote>
  <w:footnote w:type="continuationSeparator" w:id="0">
    <w:p w14:paraId="7A2A3BB9" w14:textId="77777777" w:rsidR="00CB49D7" w:rsidRDefault="00CB49D7">
      <w:r>
        <w:continuationSeparator/>
      </w:r>
    </w:p>
  </w:footnote>
  <w:footnote w:type="continuationNotice" w:id="1">
    <w:p w14:paraId="1FA55208" w14:textId="77777777" w:rsidR="00CB49D7" w:rsidRDefault="00CB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CFE2C0DE"/>
    <w:lvl w:ilvl="0" w:tplc="0415000F">
      <w:start w:val="1"/>
      <w:numFmt w:val="decimal"/>
      <w:lvlText w:val="%1."/>
      <w:lvlJc w:val="left"/>
      <w:pPr>
        <w:ind w:left="720" w:hanging="360"/>
      </w:pPr>
      <w:rPr>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A1B1E6E"/>
    <w:multiLevelType w:val="multilevel"/>
    <w:tmpl w:val="09DA4D54"/>
    <w:styleLink w:val="Biecalista1"/>
    <w:lvl w:ilvl="0">
      <w:start w:val="1"/>
      <w:numFmt w:val="decimal"/>
      <w:lvlText w:val="%1."/>
      <w:lvlJc w:val="left"/>
      <w:pPr>
        <w:ind w:left="720" w:hanging="360"/>
      </w:pPr>
      <w:rPr>
        <w:rFonts w:ascii="Garamond" w:eastAsia="Times New Roman" w:hAnsi="Garamond" w:cs="Times New Roman"/>
        <w:i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50"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5"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5"/>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 w:numId="54" w16cid:durableId="692151297">
    <w:abstractNumId w:val="1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611"/>
    <w:rsid w:val="00062852"/>
    <w:rsid w:val="00062EBA"/>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5B82"/>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10B9"/>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3E7D"/>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94F"/>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F9A"/>
    <w:rsid w:val="003427AB"/>
    <w:rsid w:val="00342988"/>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557A"/>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386"/>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DC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6F87"/>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B54"/>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3E"/>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1CC2"/>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A47"/>
    <w:rsid w:val="0070348F"/>
    <w:rsid w:val="00703E6F"/>
    <w:rsid w:val="0070455C"/>
    <w:rsid w:val="007045C7"/>
    <w:rsid w:val="007046A1"/>
    <w:rsid w:val="00705336"/>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032"/>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5742"/>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479"/>
    <w:rsid w:val="008D45DE"/>
    <w:rsid w:val="008D78E8"/>
    <w:rsid w:val="008D7B2D"/>
    <w:rsid w:val="008E015D"/>
    <w:rsid w:val="008E09C1"/>
    <w:rsid w:val="008E1256"/>
    <w:rsid w:val="008E2574"/>
    <w:rsid w:val="008E25C3"/>
    <w:rsid w:val="008E29FD"/>
    <w:rsid w:val="008E3BA1"/>
    <w:rsid w:val="008E3FEB"/>
    <w:rsid w:val="008E457B"/>
    <w:rsid w:val="008E45E0"/>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05FB"/>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FFA"/>
    <w:rsid w:val="009345CC"/>
    <w:rsid w:val="00934E8D"/>
    <w:rsid w:val="00934F65"/>
    <w:rsid w:val="00935D63"/>
    <w:rsid w:val="00937139"/>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DAF"/>
    <w:rsid w:val="00A36E33"/>
    <w:rsid w:val="00A37620"/>
    <w:rsid w:val="00A37EA2"/>
    <w:rsid w:val="00A40958"/>
    <w:rsid w:val="00A40DCF"/>
    <w:rsid w:val="00A40EF9"/>
    <w:rsid w:val="00A41202"/>
    <w:rsid w:val="00A41523"/>
    <w:rsid w:val="00A415CB"/>
    <w:rsid w:val="00A41BF5"/>
    <w:rsid w:val="00A42257"/>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0E88"/>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38A9"/>
    <w:rsid w:val="00B74638"/>
    <w:rsid w:val="00B748CB"/>
    <w:rsid w:val="00B74FBD"/>
    <w:rsid w:val="00B75371"/>
    <w:rsid w:val="00B759C3"/>
    <w:rsid w:val="00B75B29"/>
    <w:rsid w:val="00B76A8A"/>
    <w:rsid w:val="00B76D40"/>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28F5"/>
    <w:rsid w:val="00BA3084"/>
    <w:rsid w:val="00BA483B"/>
    <w:rsid w:val="00BA5B61"/>
    <w:rsid w:val="00BA5FFE"/>
    <w:rsid w:val="00BA628E"/>
    <w:rsid w:val="00BA6BB5"/>
    <w:rsid w:val="00BA6CEE"/>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95B"/>
    <w:rsid w:val="00C00EDB"/>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1F2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50"/>
    <w:rsid w:val="00C829A1"/>
    <w:rsid w:val="00C82B2D"/>
    <w:rsid w:val="00C82E6F"/>
    <w:rsid w:val="00C8356F"/>
    <w:rsid w:val="00C838A7"/>
    <w:rsid w:val="00C842EB"/>
    <w:rsid w:val="00C84486"/>
    <w:rsid w:val="00C847AC"/>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1EC"/>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7076"/>
    <w:rsid w:val="00CC718A"/>
    <w:rsid w:val="00CC72E8"/>
    <w:rsid w:val="00CC7518"/>
    <w:rsid w:val="00CC7851"/>
    <w:rsid w:val="00CC78D7"/>
    <w:rsid w:val="00CD0124"/>
    <w:rsid w:val="00CD0D1F"/>
    <w:rsid w:val="00CD1856"/>
    <w:rsid w:val="00CD22E6"/>
    <w:rsid w:val="00CD2755"/>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0AF0"/>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E7CC6"/>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1D13"/>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40D0"/>
    <w:rsid w:val="00F64219"/>
    <w:rsid w:val="00F64640"/>
    <w:rsid w:val="00F6617C"/>
    <w:rsid w:val="00F6639B"/>
    <w:rsid w:val="00F6659F"/>
    <w:rsid w:val="00F66CCB"/>
    <w:rsid w:val="00F67BD3"/>
    <w:rsid w:val="00F67F4E"/>
    <w:rsid w:val="00F7010B"/>
    <w:rsid w:val="00F7016A"/>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1169"/>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345"/>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 w:type="numbering" w:customStyle="1" w:styleId="Biecalista1">
    <w:name w:val="Bieżąca lista1"/>
    <w:uiPriority w:val="99"/>
    <w:rsid w:val="001E3E7D"/>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38</Pages>
  <Words>15365</Words>
  <Characters>102671</Characters>
  <Application>Microsoft Office Word</Application>
  <DocSecurity>0</DocSecurity>
  <Lines>855</Lines>
  <Paragraphs>235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117801</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55</cp:revision>
  <cp:lastPrinted>2017-01-18T13:15:00Z</cp:lastPrinted>
  <dcterms:created xsi:type="dcterms:W3CDTF">2025-02-14T14:02:00Z</dcterms:created>
  <dcterms:modified xsi:type="dcterms:W3CDTF">2026-01-13T07:55:00Z</dcterms:modified>
</cp:coreProperties>
</file>